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F7" w:rsidRDefault="008D21F7" w:rsidP="008D21F7">
      <w:pPr>
        <w:jc w:val="center"/>
        <w:rPr>
          <w:sz w:val="40"/>
          <w:szCs w:val="24"/>
        </w:rPr>
      </w:pPr>
    </w:p>
    <w:p w:rsidR="008D21F7" w:rsidRDefault="008D21F7" w:rsidP="008D21F7">
      <w:pPr>
        <w:jc w:val="center"/>
        <w:rPr>
          <w:sz w:val="40"/>
          <w:szCs w:val="24"/>
        </w:rPr>
      </w:pPr>
    </w:p>
    <w:p w:rsidR="008D21F7" w:rsidRDefault="008D21F7" w:rsidP="008D21F7">
      <w:pPr>
        <w:jc w:val="center"/>
        <w:rPr>
          <w:sz w:val="40"/>
          <w:szCs w:val="24"/>
        </w:rPr>
      </w:pPr>
    </w:p>
    <w:p w:rsidR="008D21F7" w:rsidRDefault="008D21F7" w:rsidP="008D21F7">
      <w:pPr>
        <w:jc w:val="center"/>
        <w:rPr>
          <w:sz w:val="40"/>
          <w:szCs w:val="24"/>
        </w:rPr>
      </w:pPr>
    </w:p>
    <w:p w:rsidR="008D21F7" w:rsidRDefault="008D21F7" w:rsidP="008D21F7">
      <w:pPr>
        <w:jc w:val="center"/>
        <w:rPr>
          <w:sz w:val="44"/>
          <w:szCs w:val="24"/>
        </w:rPr>
      </w:pPr>
      <w:r>
        <w:rPr>
          <w:sz w:val="44"/>
          <w:szCs w:val="24"/>
        </w:rPr>
        <w:t xml:space="preserve">Centro de Estudos Miguel </w:t>
      </w:r>
      <w:proofErr w:type="spellStart"/>
      <w:r>
        <w:rPr>
          <w:sz w:val="44"/>
          <w:szCs w:val="24"/>
        </w:rPr>
        <w:t>Murat</w:t>
      </w:r>
      <w:proofErr w:type="spellEnd"/>
      <w:r>
        <w:rPr>
          <w:sz w:val="44"/>
          <w:szCs w:val="24"/>
        </w:rPr>
        <w:t xml:space="preserve"> de Vasconcellos</w:t>
      </w:r>
    </w:p>
    <w:p w:rsidR="008D21F7" w:rsidRDefault="008D21F7" w:rsidP="008D21F7">
      <w:pPr>
        <w:jc w:val="center"/>
        <w:rPr>
          <w:sz w:val="44"/>
          <w:szCs w:val="24"/>
        </w:rPr>
      </w:pPr>
    </w:p>
    <w:p w:rsidR="008D21F7" w:rsidRDefault="008D21F7" w:rsidP="008D21F7">
      <w:pPr>
        <w:jc w:val="center"/>
        <w:rPr>
          <w:sz w:val="44"/>
          <w:szCs w:val="24"/>
          <w:u w:val="single"/>
        </w:rPr>
      </w:pPr>
      <w:r>
        <w:rPr>
          <w:sz w:val="44"/>
          <w:szCs w:val="24"/>
          <w:u w:val="single"/>
        </w:rPr>
        <w:t>CEENSP</w:t>
      </w:r>
    </w:p>
    <w:p w:rsidR="008D21F7" w:rsidRDefault="008D21F7" w:rsidP="008D21F7">
      <w:pPr>
        <w:jc w:val="center"/>
        <w:rPr>
          <w:sz w:val="44"/>
          <w:szCs w:val="24"/>
        </w:rPr>
      </w:pPr>
    </w:p>
    <w:p w:rsidR="008D21F7" w:rsidRDefault="008D21F7" w:rsidP="008D21F7">
      <w:pPr>
        <w:jc w:val="center"/>
        <w:rPr>
          <w:sz w:val="44"/>
          <w:szCs w:val="24"/>
        </w:rPr>
      </w:pPr>
    </w:p>
    <w:p w:rsidR="008D21F7" w:rsidRDefault="008D21F7" w:rsidP="008D21F7">
      <w:pPr>
        <w:jc w:val="center"/>
        <w:rPr>
          <w:sz w:val="44"/>
          <w:szCs w:val="24"/>
        </w:rPr>
      </w:pPr>
    </w:p>
    <w:p w:rsidR="008D21F7" w:rsidRDefault="008D21F7" w:rsidP="008D21F7">
      <w:pPr>
        <w:jc w:val="center"/>
        <w:rPr>
          <w:sz w:val="44"/>
          <w:szCs w:val="24"/>
        </w:rPr>
      </w:pPr>
    </w:p>
    <w:p w:rsidR="008D21F7" w:rsidRDefault="008D21F7" w:rsidP="008D21F7">
      <w:pPr>
        <w:jc w:val="center"/>
        <w:rPr>
          <w:sz w:val="44"/>
          <w:szCs w:val="24"/>
        </w:rPr>
      </w:pPr>
    </w:p>
    <w:p w:rsidR="008D21F7" w:rsidRDefault="008D21F7" w:rsidP="008D21F7">
      <w:pPr>
        <w:jc w:val="center"/>
        <w:rPr>
          <w:sz w:val="44"/>
          <w:szCs w:val="24"/>
        </w:rPr>
      </w:pPr>
      <w:r>
        <w:rPr>
          <w:sz w:val="44"/>
          <w:szCs w:val="24"/>
        </w:rPr>
        <w:t>Relatório</w:t>
      </w:r>
    </w:p>
    <w:p w:rsidR="008D21F7" w:rsidRDefault="008D21F7" w:rsidP="008D21F7">
      <w:pPr>
        <w:jc w:val="center"/>
        <w:rPr>
          <w:sz w:val="44"/>
          <w:szCs w:val="24"/>
        </w:rPr>
      </w:pPr>
    </w:p>
    <w:p w:rsidR="008D21F7" w:rsidRDefault="008D21F7" w:rsidP="008D21F7">
      <w:pPr>
        <w:jc w:val="center"/>
        <w:rPr>
          <w:sz w:val="44"/>
          <w:szCs w:val="24"/>
        </w:rPr>
      </w:pPr>
    </w:p>
    <w:p w:rsidR="008D21F7" w:rsidRDefault="008D21F7" w:rsidP="008D21F7">
      <w:pPr>
        <w:jc w:val="center"/>
        <w:rPr>
          <w:sz w:val="44"/>
          <w:szCs w:val="24"/>
        </w:rPr>
      </w:pPr>
    </w:p>
    <w:p w:rsidR="008D21F7" w:rsidRDefault="008D21F7" w:rsidP="008D21F7">
      <w:pPr>
        <w:spacing w:line="360" w:lineRule="auto"/>
        <w:ind w:firstLine="1418"/>
        <w:jc w:val="both"/>
        <w:rPr>
          <w:sz w:val="40"/>
          <w:szCs w:val="24"/>
        </w:rPr>
      </w:pPr>
      <w:r>
        <w:rPr>
          <w:sz w:val="24"/>
          <w:szCs w:val="24"/>
        </w:rPr>
        <w:t xml:space="preserve">Este documento visa reunir as informações de interesse para a gestão do Centro de Estudos Miguel </w:t>
      </w:r>
      <w:proofErr w:type="spellStart"/>
      <w:r>
        <w:rPr>
          <w:sz w:val="24"/>
          <w:szCs w:val="24"/>
        </w:rPr>
        <w:t>Murat</w:t>
      </w:r>
      <w:proofErr w:type="spellEnd"/>
      <w:r>
        <w:rPr>
          <w:sz w:val="24"/>
          <w:szCs w:val="24"/>
        </w:rPr>
        <w:t xml:space="preserve"> de Vasconcelos, da Escola Nacional de Saúde Pública Sergio Arouca, a partir de documentos da VDPI referentes aos anos de 2011, 2012, 2013, 2014, 2015 e primeiro semestre de 2016. As informações deste relatório poderão ajudar a dar continuidade e melhorar a referida atividade nesta Escola.</w:t>
      </w:r>
      <w:r>
        <w:rPr>
          <w:sz w:val="44"/>
          <w:szCs w:val="24"/>
        </w:rPr>
        <w:t xml:space="preserve"> </w:t>
      </w:r>
    </w:p>
    <w:p w:rsidR="008D21F7" w:rsidRDefault="008D21F7" w:rsidP="008D21F7">
      <w:pPr>
        <w:jc w:val="center"/>
        <w:rPr>
          <w:sz w:val="40"/>
          <w:szCs w:val="24"/>
        </w:rPr>
      </w:pPr>
    </w:p>
    <w:p w:rsidR="008D21F7" w:rsidRDefault="008D21F7" w:rsidP="008D21F7">
      <w:pPr>
        <w:jc w:val="center"/>
        <w:rPr>
          <w:sz w:val="40"/>
          <w:szCs w:val="24"/>
        </w:rPr>
      </w:pPr>
    </w:p>
    <w:p w:rsidR="008D21F7" w:rsidRDefault="008D21F7" w:rsidP="008D21F7">
      <w:pPr>
        <w:jc w:val="center"/>
        <w:rPr>
          <w:rFonts w:ascii="Symbol" w:hAnsi="Symbol"/>
          <w:sz w:val="40"/>
          <w:szCs w:val="24"/>
        </w:rPr>
      </w:pPr>
    </w:p>
    <w:p w:rsidR="008D21F7" w:rsidRDefault="008D21F7" w:rsidP="008D21F7">
      <w:pPr>
        <w:jc w:val="center"/>
        <w:rPr>
          <w:rFonts w:ascii="Symbol" w:hAnsi="Symbol"/>
          <w:sz w:val="40"/>
          <w:szCs w:val="24"/>
        </w:rPr>
      </w:pPr>
    </w:p>
    <w:p w:rsidR="008D21F7" w:rsidRDefault="008D21F7" w:rsidP="008D21F7">
      <w:pPr>
        <w:jc w:val="center"/>
        <w:rPr>
          <w:rFonts w:ascii="Symbol" w:hAnsi="Symbol"/>
          <w:sz w:val="40"/>
          <w:szCs w:val="24"/>
        </w:rPr>
      </w:pPr>
    </w:p>
    <w:p w:rsidR="008D21F7" w:rsidRDefault="008D21F7" w:rsidP="008D21F7">
      <w:pPr>
        <w:jc w:val="center"/>
        <w:rPr>
          <w:rFonts w:ascii="Symbol" w:hAnsi="Symbol"/>
          <w:sz w:val="40"/>
          <w:szCs w:val="24"/>
        </w:rPr>
      </w:pPr>
    </w:p>
    <w:p w:rsidR="008D21F7" w:rsidRDefault="008D21F7" w:rsidP="008D21F7">
      <w:pPr>
        <w:jc w:val="center"/>
        <w:rPr>
          <w:rFonts w:ascii="Symbol" w:hAnsi="Symbol"/>
          <w:sz w:val="40"/>
          <w:szCs w:val="24"/>
        </w:rPr>
      </w:pPr>
    </w:p>
    <w:p w:rsidR="008D21F7" w:rsidRDefault="008D21F7" w:rsidP="008D21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Introdução</w:t>
      </w:r>
    </w:p>
    <w:p w:rsidR="008D21F7" w:rsidRDefault="008D21F7" w:rsidP="008D21F7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partir de 01 de março 2006, </w:t>
      </w:r>
      <w:r>
        <w:rPr>
          <w:sz w:val="24"/>
          <w:szCs w:val="24"/>
          <w:highlight w:val="yellow"/>
        </w:rPr>
        <w:t xml:space="preserve">ainda na gestão de Margareth </w:t>
      </w:r>
      <w:proofErr w:type="spellStart"/>
      <w:r>
        <w:rPr>
          <w:sz w:val="24"/>
          <w:szCs w:val="24"/>
          <w:highlight w:val="yellow"/>
        </w:rPr>
        <w:t>Crisóstomo</w:t>
      </w:r>
      <w:proofErr w:type="spellEnd"/>
      <w:r>
        <w:rPr>
          <w:sz w:val="24"/>
          <w:szCs w:val="24"/>
          <w:highlight w:val="yellow"/>
        </w:rPr>
        <w:t xml:space="preserve"> Portela</w:t>
      </w:r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Vice-Direção</w:t>
      </w:r>
      <w:proofErr w:type="spellEnd"/>
      <w:r>
        <w:rPr>
          <w:sz w:val="24"/>
          <w:szCs w:val="24"/>
        </w:rPr>
        <w:t xml:space="preserve"> de Pesquisa e Desenvolvimento Tecnológico, e </w:t>
      </w: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Ivo de Carvalho na Direção da Escola Nacional de Saúde Pública Sergio Arouca, a mesma passou a reunir seus servidores e alunos para discussões periódicas na forma de um Centro de Estudos. O objetivo deste Centro de Estudos, denominado inicialmente CEENSP – Centro de Estudos da ENSP, era reunir a comunidade científica para a troca de ideias sobre temas de interesse para a Saúde Pública, que atraísse participantes dos diferentes cursos e departamentos, e que fosse marcado pela excelência e qualidade das suas apresentações e debates. Embora numerosos eventos abertos e sessões científicas tenham permeado sempre o ambiente acadêmico da Escola, a realização regular de um Centro de Estudos coletivo passou a enriquecer o ambiente acadêmico do maneira inegável.</w:t>
      </w:r>
    </w:p>
    <w:p w:rsidR="008D21F7" w:rsidRDefault="008D21F7" w:rsidP="008D21F7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presença dos estudantes neste encontro foi estimulada pela concessão de créditos adicionais, regimentalmente aprovados todos aqueles que comprovadamente frequentassem as sessões. Para o sucesso destas reuniões foram também pactuados ajustes de calendários de aulas, ficando os horários cativos do CEENSP – sempre que possível às quartas-feiras à tarde - liberados na maior parte do calendário semanal da Escola, de modo a permitir que os alunos tivessem mais disponibilidade para participação. A atual gestão, iniciada em meados de 2013, deu continuidade à realização destes encontros, buscando assegurar sua regularidade e estimulando a participação de alunos e pesquisadores/professores nas sugestões de temas para sua organização. Para agilização de decisões e organização, a responsabilidade pela realização do CEENSP passou a ser da </w:t>
      </w:r>
      <w:proofErr w:type="spellStart"/>
      <w:r>
        <w:rPr>
          <w:sz w:val="24"/>
          <w:szCs w:val="24"/>
        </w:rPr>
        <w:t>Vice-Direção</w:t>
      </w:r>
      <w:proofErr w:type="spellEnd"/>
      <w:r>
        <w:rPr>
          <w:sz w:val="24"/>
          <w:szCs w:val="24"/>
        </w:rPr>
        <w:t xml:space="preserve"> de Pesquisa da ENSP, conforme o contido no Artigo 37, § X “promover e viabilizar a realização do Centro de Estudos Miguel </w:t>
      </w:r>
      <w:proofErr w:type="spellStart"/>
      <w:r>
        <w:rPr>
          <w:sz w:val="24"/>
          <w:szCs w:val="24"/>
        </w:rPr>
        <w:t>Murat</w:t>
      </w:r>
      <w:proofErr w:type="spellEnd"/>
      <w:r>
        <w:rPr>
          <w:sz w:val="24"/>
          <w:szCs w:val="24"/>
        </w:rPr>
        <w:t xml:space="preserve"> (CEENSP)” do novo Regimento da ENSP Assembleia Geral da ENSP em 15 e 16 de julho de 2015.</w:t>
      </w:r>
    </w:p>
    <w:p w:rsidR="008D21F7" w:rsidRDefault="008D21F7" w:rsidP="008D21F7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reconhecimento à contribuição de um dos pesquisadores do Departamento de Administração e Planejamento em Saúde da ENSP, precocemente morto, a Direção da ENSP em reunião do Conselho Departamental datada de quatro de fevereiro de 2014, aprovou a indicação para que o Centro de Estudos recebesse seu nome, ato já discutido anteriormente no CD. Nesta mesma sessão, foi agendada a aula inaugural da ENSP em 26 de março de 2014, com a palestra “Saúde coletiva ou Restauração da Saúde Pública?”, proferida pelo professor convidado </w:t>
      </w:r>
      <w:proofErr w:type="spellStart"/>
      <w:r>
        <w:rPr>
          <w:sz w:val="24"/>
          <w:szCs w:val="24"/>
        </w:rPr>
        <w:t>Jairnilson</w:t>
      </w:r>
      <w:proofErr w:type="spellEnd"/>
      <w:r>
        <w:rPr>
          <w:sz w:val="24"/>
          <w:szCs w:val="24"/>
        </w:rPr>
        <w:t xml:space="preserve"> Paim, do Instituo de Saúde Coletiva da Universidade Federal da Bahia, e seguida por uma homenagem a </w:t>
      </w:r>
      <w:r>
        <w:rPr>
          <w:sz w:val="24"/>
          <w:szCs w:val="24"/>
        </w:rPr>
        <w:lastRenderedPageBreak/>
        <w:t xml:space="preserve">Miguel </w:t>
      </w:r>
      <w:proofErr w:type="spellStart"/>
      <w:r>
        <w:rPr>
          <w:sz w:val="24"/>
          <w:szCs w:val="24"/>
        </w:rPr>
        <w:t>Murat</w:t>
      </w:r>
      <w:proofErr w:type="spellEnd"/>
      <w:r>
        <w:rPr>
          <w:sz w:val="24"/>
          <w:szCs w:val="24"/>
        </w:rPr>
        <w:t xml:space="preserve">, quando então o Centro de Estudos recebeu oficialmente seu nome. Deste modo, o Centro de Estudos passou a denominar-se Centro de Estudos Miguel </w:t>
      </w:r>
      <w:proofErr w:type="spellStart"/>
      <w:r>
        <w:rPr>
          <w:sz w:val="24"/>
          <w:szCs w:val="24"/>
        </w:rPr>
        <w:t>Murat</w:t>
      </w:r>
      <w:proofErr w:type="spellEnd"/>
      <w:r>
        <w:rPr>
          <w:sz w:val="24"/>
          <w:szCs w:val="24"/>
        </w:rPr>
        <w:t xml:space="preserve"> de Vasconcellos, realizando-se ainda a fixação de uma placa comemorativa na entrada do Salão Internacional da ENSP, local cativo para realização do CEENSP.</w:t>
      </w:r>
    </w:p>
    <w:p w:rsidR="008D21F7" w:rsidRDefault="008D21F7" w:rsidP="008D21F7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Contribuindo ao longo de anos com importantes discussões e trazendo temas de grande atualidade para a Saúde Pública, as sessões do Centro de Estudos tem despertado grande interesse da comunidade da ENSP. Sua realização vem contando com a colaboração de grandes nomes da área e também das suas áreas afins, e com a participação de cientistas e professores do Brasil e de outros países, que aceitam participar como palestrantes e debatedores, contribuindo assim com seus conhecimentos para nossos pesquisadores e alunos. </w:t>
      </w:r>
    </w:p>
    <w:p w:rsidR="008D21F7" w:rsidRDefault="008D21F7" w:rsidP="008D21F7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Sendo uma atividade não remunerada, o CEENSP não conta com recursos orçamentários próprios, havendo a disponibilização eventual de apoio financeiro para a vinda de convidados de fora. Assim sendo, muitas vezes a realização das sessões é possível graças às parcerias solidárias com projetos de pesquisa e com os programas de pós-graduação </w:t>
      </w:r>
      <w:proofErr w:type="spellStart"/>
      <w:r>
        <w:rPr>
          <w:i/>
          <w:sz w:val="24"/>
          <w:szCs w:val="24"/>
        </w:rPr>
        <w:t>strito</w:t>
      </w:r>
      <w:proofErr w:type="spellEnd"/>
      <w:r>
        <w:rPr>
          <w:i/>
          <w:sz w:val="24"/>
          <w:szCs w:val="24"/>
        </w:rPr>
        <w:t xml:space="preserve"> sensu, </w:t>
      </w:r>
      <w:r>
        <w:rPr>
          <w:sz w:val="24"/>
          <w:szCs w:val="24"/>
        </w:rPr>
        <w:t xml:space="preserve">graças aos quais se tem podido pagar passagens e diárias aos convidados. A vinda de colegas para eventos internacionais e participação em projetos também oportuniza a sua presença e contribuição aos nossos </w:t>
      </w:r>
      <w:proofErr w:type="spellStart"/>
      <w:r>
        <w:rPr>
          <w:sz w:val="24"/>
          <w:szCs w:val="24"/>
        </w:rPr>
        <w:t>CEENSPs</w:t>
      </w:r>
      <w:proofErr w:type="spellEnd"/>
      <w:r>
        <w:rPr>
          <w:sz w:val="24"/>
          <w:szCs w:val="24"/>
        </w:rPr>
        <w:t xml:space="preserve">. </w:t>
      </w:r>
    </w:p>
    <w:p w:rsidR="008D21F7" w:rsidRDefault="008D21F7" w:rsidP="008D21F7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Organizado por pesquisadores e professores da ENSP, e supervisionado pela </w:t>
      </w:r>
      <w:proofErr w:type="spellStart"/>
      <w:r>
        <w:rPr>
          <w:sz w:val="24"/>
          <w:szCs w:val="24"/>
        </w:rPr>
        <w:t>Vice-Direção</w:t>
      </w:r>
      <w:proofErr w:type="spellEnd"/>
      <w:r>
        <w:rPr>
          <w:sz w:val="24"/>
          <w:szCs w:val="24"/>
        </w:rPr>
        <w:t xml:space="preserve"> de Pesquisa e Inovação, o Centro de Estudos está sob responsabilidade do Setor de Apoio Administrativo da VDPI, que se encarrega dos contatos com organizadores e convidados, solicitação de passagens e diárias (quando possível), encaminhamento de informações para a produção de cartazes e convites eletrônicos para as sessões, distribuição de cartazes e de convites eletrônicos por e-mails, além de suporte logístico para sessões. A Coordenadoria de Comunicação e Informação – CCI, da ENSP, por sua vez, se encarrega de produzir belos cartazes e convites eletrônicos, que respondem hoje a um padrão gráfico bem definido, conferindo ao CEENSP identidade visual adequada, que também se expressa no certificado fornecido aos participantes da mesa. O Informe ENSP divulga a realização da sessão nos dias que antecedem o evento, para assegurar maior alcance da informação. Atualmente, o envio dos convites eletrônicos anteriormente feito na lista da ENSP, abrange hoje as listas de pesquisadores de todas as unidades da Fiocruz, permitindo portanto maior visibilidade e participação.</w:t>
      </w:r>
    </w:p>
    <w:p w:rsidR="008D21F7" w:rsidRDefault="008D21F7" w:rsidP="008D21F7">
      <w:pPr>
        <w:spacing w:line="360" w:lineRule="auto"/>
        <w:ind w:firstLine="708"/>
        <w:rPr>
          <w:rFonts w:eastAsiaTheme="minorHAnsi"/>
          <w:i/>
          <w:sz w:val="24"/>
          <w:szCs w:val="24"/>
          <w:lang w:eastAsia="en-US"/>
        </w:rPr>
      </w:pPr>
      <w:r>
        <w:rPr>
          <w:sz w:val="24"/>
          <w:szCs w:val="24"/>
        </w:rPr>
        <w:t xml:space="preserve">Desde de 2004 vem sendo feito pela Secretaria Acadêmica da ENSP o registro das assinaturas dos alunos presentes em listas próprias. Com a sistematização dos </w:t>
      </w:r>
      <w:r>
        <w:rPr>
          <w:sz w:val="24"/>
          <w:szCs w:val="24"/>
        </w:rPr>
        <w:lastRenderedPageBreak/>
        <w:t xml:space="preserve">Centros de Estudo a partir dos anos subsequentes essa atividade tornou-se uma forma regular de </w:t>
      </w:r>
      <w:proofErr w:type="spellStart"/>
      <w:r>
        <w:rPr>
          <w:sz w:val="24"/>
          <w:szCs w:val="24"/>
        </w:rPr>
        <w:t>creditação</w:t>
      </w:r>
      <w:proofErr w:type="spellEnd"/>
      <w:r>
        <w:rPr>
          <w:sz w:val="24"/>
          <w:szCs w:val="24"/>
        </w:rPr>
        <w:t xml:space="preserve">. No que se refere à atribuição de créditos pela frequência ao CEENSP os regimentos dos programas de pós-graduação da ENSP </w:t>
      </w:r>
      <w:proofErr w:type="spellStart"/>
      <w:r>
        <w:rPr>
          <w:sz w:val="24"/>
          <w:szCs w:val="24"/>
        </w:rPr>
        <w:t>prevêm</w:t>
      </w:r>
      <w:proofErr w:type="spellEnd"/>
      <w:r>
        <w:rPr>
          <w:sz w:val="24"/>
          <w:szCs w:val="24"/>
        </w:rPr>
        <w:t xml:space="preserve"> a concessão de créditos pela participação nas sessões do CEENSP. Apenas o regimento do programa de Pós-graduação em Bioética não explicita esta atribuição de créditos. No programa de Pós-graduação em Saúde Pública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já está prevista no regimento de 2009, mantendo-se no de 2013. No Regimento de 2009 os termos regimentais previam a atribuição de créditos da seguinte forma: </w:t>
      </w:r>
      <w:r>
        <w:rPr>
          <w:i/>
          <w:sz w:val="24"/>
          <w:szCs w:val="24"/>
        </w:rPr>
        <w:t>Artigo 26.8, Alínea e</w:t>
      </w:r>
      <w:r>
        <w:rPr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p</w:t>
      </w:r>
      <w:r>
        <w:rPr>
          <w:i/>
          <w:sz w:val="24"/>
          <w:szCs w:val="24"/>
        </w:rPr>
        <w:t xml:space="preserve">articipação de alunos de Mestrado/Doutorado nos Seminários de Atualização em Temas Contemporâneos da Saúde Pública ou no Centro de Estudos da ENSP (CEENSP) – a presença em cada 4 sessões corresponderá à 1 crédito, </w:t>
      </w:r>
      <w:r>
        <w:rPr>
          <w:i/>
          <w:sz w:val="24"/>
          <w:szCs w:val="24"/>
          <w:u w:val="single"/>
        </w:rPr>
        <w:t>sendo obrigatória, ao longo do curso, a participação em pelo menos 8 sessões</w:t>
      </w:r>
      <w:r>
        <w:rPr>
          <w:i/>
          <w:sz w:val="24"/>
          <w:szCs w:val="24"/>
        </w:rPr>
        <w:t xml:space="preserve">, correspondente a 2 créditos. </w:t>
      </w:r>
      <w:r>
        <w:rPr>
          <w:sz w:val="24"/>
          <w:szCs w:val="24"/>
        </w:rPr>
        <w:t xml:space="preserve">No Regimento de 2013 os termos passaram a ser os seguintes: </w:t>
      </w:r>
      <w:r>
        <w:rPr>
          <w:i/>
          <w:sz w:val="24"/>
          <w:szCs w:val="24"/>
        </w:rPr>
        <w:t>Artigo24.7, Alínea d) participação de alunos de mestrado e doutorado nos seminários de atualização em temas contemporâneos da saúde pública ou no Centro de Estudos da ENSP (</w:t>
      </w:r>
      <w:proofErr w:type="spellStart"/>
      <w:r>
        <w:rPr>
          <w:i/>
          <w:sz w:val="24"/>
          <w:szCs w:val="24"/>
        </w:rPr>
        <w:t>Ceensp</w:t>
      </w:r>
      <w:proofErr w:type="spellEnd"/>
      <w:r>
        <w:rPr>
          <w:i/>
          <w:sz w:val="24"/>
          <w:szCs w:val="24"/>
        </w:rPr>
        <w:t xml:space="preserve">) – a presença em pelo menos oito sessões corresponderá até 2(dois) créditos. </w:t>
      </w:r>
      <w:r>
        <w:rPr>
          <w:sz w:val="24"/>
          <w:szCs w:val="24"/>
        </w:rPr>
        <w:t>Em ambos os casos, portanto, a participação do aluno no CEENSP proporciona 2 (dois) créditos ao longo do curso. Chama atenção entretanto que no regimento anterior ficava indicada a obrigatoriedade de participação discente em um mínimo de 8 sessões, o que não está mais explicitado no Regimento atual do Programa de Saúde Pública. O</w:t>
      </w:r>
      <w:r>
        <w:rPr>
          <w:rFonts w:eastAsiaTheme="minorHAnsi"/>
          <w:sz w:val="24"/>
          <w:szCs w:val="24"/>
          <w:lang w:eastAsia="en-US"/>
        </w:rPr>
        <w:t xml:space="preserve"> programa de Saúde Pública e Meio Ambiente, prevê n</w:t>
      </w:r>
      <w:r>
        <w:rPr>
          <w:rFonts w:eastAsiaTheme="minorHAnsi"/>
          <w:i/>
          <w:sz w:val="24"/>
          <w:szCs w:val="24"/>
          <w:lang w:eastAsia="en-US"/>
        </w:rPr>
        <w:t>o Artigo 33.7, Alínea e)</w:t>
      </w:r>
      <w:r>
        <w:rPr>
          <w:rFonts w:asciiTheme="minorHAnsi" w:eastAsiaTheme="minorHAnsi" w:hAnsiTheme="minorHAnsi" w:cs="ArialMT"/>
          <w:sz w:val="24"/>
          <w:szCs w:val="22"/>
          <w:lang w:eastAsia="en-US"/>
        </w:rPr>
        <w:t xml:space="preserve"> </w:t>
      </w:r>
      <w:r>
        <w:rPr>
          <w:rFonts w:eastAsiaTheme="minorHAnsi"/>
          <w:i/>
          <w:sz w:val="24"/>
          <w:szCs w:val="24"/>
          <w:lang w:eastAsia="en-US"/>
        </w:rPr>
        <w:t>a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 p</w:t>
      </w:r>
      <w:r>
        <w:rPr>
          <w:rFonts w:eastAsiaTheme="minorHAnsi"/>
          <w:i/>
          <w:sz w:val="24"/>
          <w:szCs w:val="22"/>
          <w:lang w:eastAsia="en-US"/>
        </w:rPr>
        <w:t>articipação de alunos de Mestrado/Doutorado nos Seminários de Atualização em Temas Contemporâneos da Saúde Pública ou no Centro de Estudos da ENSP (CEENSP) – a presença em cada 4 sessões corresponderá a 1 crédito, sendo obrigatória, ao longo do curso, a participação em pelo menos 8 sessões, correspondente a 2 créditos</w:t>
      </w:r>
      <w:r>
        <w:rPr>
          <w:rFonts w:asciiTheme="minorHAnsi" w:eastAsiaTheme="minorHAnsi" w:hAnsiTheme="minorHAnsi" w:cs="ArialMT"/>
          <w:sz w:val="24"/>
          <w:szCs w:val="22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 xml:space="preserve">Da mesma forma o do programa de Epidemiologia em Saúde Pública, determina no </w:t>
      </w:r>
      <w:r>
        <w:rPr>
          <w:rFonts w:eastAsiaTheme="minorHAnsi"/>
          <w:i/>
          <w:sz w:val="24"/>
          <w:szCs w:val="24"/>
          <w:lang w:eastAsia="en-US"/>
        </w:rPr>
        <w:t xml:space="preserve">Artigo 33.8, Alínea </w:t>
      </w:r>
      <w:proofErr w:type="gramStart"/>
      <w:r>
        <w:rPr>
          <w:rFonts w:eastAsiaTheme="minorHAnsi"/>
          <w:i/>
          <w:sz w:val="24"/>
          <w:szCs w:val="24"/>
          <w:lang w:eastAsia="en-US"/>
        </w:rPr>
        <w:t>e)Participação</w:t>
      </w:r>
      <w:proofErr w:type="gramEnd"/>
      <w:r>
        <w:rPr>
          <w:rFonts w:eastAsiaTheme="minorHAnsi"/>
          <w:i/>
          <w:sz w:val="24"/>
          <w:szCs w:val="24"/>
          <w:lang w:eastAsia="en-US"/>
        </w:rPr>
        <w:t xml:space="preserve"> de alunos de Mestrado/Doutorado nas Sessões Científicas do Programa de Epidemiologia em Saúde Pública ou no Centro de Estudos da ENSP (CEENSP) – a presença em cada 4 sessões corresponderá à 1 crédito, sendo obrigatória, ao longo do curso, a participação em pelo menos 8 sessões, correspondente a 2 créditos. </w:t>
      </w:r>
    </w:p>
    <w:p w:rsidR="008D21F7" w:rsidRDefault="008D21F7" w:rsidP="008D21F7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Desde o início da gestão em 2013, o registro das sessões e público presente vem realizada em listas/livros de presença próprios, aos cuidados da VDPI.  A contabilização das assinaturas pela Secretaria Acadêmica é registrada desde então para </w:t>
      </w:r>
      <w:r>
        <w:rPr>
          <w:sz w:val="24"/>
          <w:szCs w:val="24"/>
        </w:rPr>
        <w:lastRenderedPageBreak/>
        <w:t>fins comparativos. Para os demais funcionários e colaboradores da ENSP e de outras unidades da Fiocruz, o livro de presenças comprova, para nossas estatísticas internas e também para a concessão eventual de declarações de comparecimento, o que tem sido solicitado principalmente por participantes externos.</w:t>
      </w:r>
    </w:p>
    <w:p w:rsidR="008D21F7" w:rsidRDefault="008D21F7" w:rsidP="008D21F7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Para um melhor acompanhamento das sessões, principalmente por parte daqueles que não podem comparecer presencialmente, a Coordenação de Comunicação e Informação da ENSP também realiza a documentação integral das sessões, através da filmagem, fotografias e, em alguns casos, de entrevistas. A edição de um curta de poucos minutos a partir da filmagem integral permite a divulgação posterior e ampla do evento, e a disponibilização da gravação integral (imagem/som ou apenas som) de todas as sessões pode ser recuperada na biblioteca multimídia na página da ENSP. A transmissão em tempo real da sessão para fora da ENSP, realizada em algumas sessões, encontra-se temporariamente suspensa por razões técnicas.</w:t>
      </w:r>
    </w:p>
    <w:p w:rsidR="008D21F7" w:rsidRDefault="008D21F7" w:rsidP="008D21F7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temas do Centro de Estudos Miguel </w:t>
      </w:r>
      <w:proofErr w:type="spellStart"/>
      <w:r>
        <w:rPr>
          <w:sz w:val="24"/>
          <w:szCs w:val="24"/>
        </w:rPr>
        <w:t>Murat</w:t>
      </w:r>
      <w:proofErr w:type="spellEnd"/>
      <w:r>
        <w:rPr>
          <w:sz w:val="24"/>
          <w:szCs w:val="24"/>
        </w:rPr>
        <w:t xml:space="preserve"> de Vasconcellos são sugeridos por nossos pesquisadores ao decorrer do ano. As sessões do CEENSP são realizadas geralmente no Salão Internacional da ENSP, localizado no 4° andar. Em alguns casos, e dependendo do tema e do público previsto, as sessões são realizadas no Auditório, localizado no térreo da ENSP. Muito embora alguns temas sejam induzidos pela </w:t>
      </w:r>
      <w:proofErr w:type="spellStart"/>
      <w:r>
        <w:rPr>
          <w:sz w:val="24"/>
          <w:szCs w:val="24"/>
        </w:rPr>
        <w:t>Vice-Direção</w:t>
      </w:r>
      <w:proofErr w:type="spellEnd"/>
      <w:r>
        <w:rPr>
          <w:sz w:val="24"/>
          <w:szCs w:val="24"/>
        </w:rPr>
        <w:t xml:space="preserve"> de Pesquisa, em geral são de demanda espontânea. O pesquisador que deseja realizar uma sessão do CEENSP entra em contato com a VDPI, informando tema, nome dos palestrantes e nome do coordenador da sessão, e passa-se a agendar a data e o local conciliando a disponibilidade dos palestrantes e do espaço na ENSP. Os alunos são convidados a enviar também sugestões e participar cada vez mais ativamente destas sessões que são abertas e democráticas.</w:t>
      </w:r>
    </w:p>
    <w:p w:rsidR="008D21F7" w:rsidRDefault="008D21F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21F7" w:rsidRDefault="008D21F7" w:rsidP="008D21F7">
      <w:pPr>
        <w:spacing w:line="360" w:lineRule="auto"/>
        <w:ind w:firstLine="1418"/>
        <w:jc w:val="both"/>
        <w:rPr>
          <w:sz w:val="24"/>
          <w:szCs w:val="24"/>
        </w:rPr>
      </w:pPr>
    </w:p>
    <w:p w:rsidR="008D21F7" w:rsidRDefault="008D21F7" w:rsidP="008D21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Desempenho do Centro de Estudos entre 2011 e 2016</w:t>
      </w:r>
    </w:p>
    <w:p w:rsidR="008D21F7" w:rsidRDefault="008D21F7" w:rsidP="008D21F7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O mapeamento das sessões do Centro de Estudos pelo acompanhamento de frequência de todos os participantes das sessões vem sendo feito desde 7 de agosto de 2013 e já permite hoje uma descritiva das sessões, sua regularidade, sua variedade, sua frequência tanto de alunos quanto de público em geral. </w:t>
      </w:r>
    </w:p>
    <w:p w:rsidR="008D21F7" w:rsidRDefault="008D21F7" w:rsidP="008D21F7">
      <w:pPr>
        <w:spacing w:line="360" w:lineRule="auto"/>
        <w:ind w:firstLine="1418"/>
        <w:jc w:val="both"/>
        <w:rPr>
          <w:sz w:val="24"/>
          <w:szCs w:val="24"/>
        </w:rPr>
      </w:pPr>
    </w:p>
    <w:tbl>
      <w:tblPr>
        <w:tblpPr w:leftFromText="141" w:rightFromText="141" w:bottomFromText="160" w:vertAnchor="page" w:horzAnchor="margin" w:tblpY="5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1021"/>
        <w:gridCol w:w="1758"/>
        <w:gridCol w:w="1810"/>
        <w:gridCol w:w="1390"/>
        <w:gridCol w:w="1121"/>
      </w:tblGrid>
      <w:tr w:rsidR="008D21F7" w:rsidTr="008D21F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Título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Data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Coordenação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Palestrante(s)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Não Alunos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Alunos</w:t>
            </w:r>
          </w:p>
        </w:tc>
      </w:tr>
      <w:tr w:rsidR="008D21F7" w:rsidTr="008D21F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Soropositivas</w:t>
            </w:r>
          </w:p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23/03/2011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Angela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Esher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(Pesquisadora da ENSP/Fiocruz)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Susanna Lira (Diretora da Modo Operante Produções)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76</w:t>
            </w:r>
          </w:p>
        </w:tc>
      </w:tr>
      <w:tr w:rsidR="008D21F7" w:rsidTr="008D21F7">
        <w:trPr>
          <w:trHeight w:val="71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Efetividade e Segurança dos Anorexígenos</w:t>
            </w:r>
          </w:p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30/03/2011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Luiz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Antonio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Bastos Camacho (Pesquisador da ENSP/Fiocruz)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Francisco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Paumgartten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(Pesquisador da ENSP/Fiocruz)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40</w:t>
            </w:r>
          </w:p>
        </w:tc>
      </w:tr>
      <w:tr w:rsidR="008D21F7" w:rsidTr="008D21F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Pesquisa de Assistência Médico-Sanitária no Brasil</w:t>
            </w:r>
          </w:p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06/04/2011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Marina Ferreira de Noronha (Pesquisadora da ENSP/Fiocruz)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Maria Isabel Fernandes Mendes (IBGE), Marco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Antonio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Andreazzi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(IBGE), Nilson do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Rosario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Costa (Pesquisador da ENSP/Fiocruz) e Francisco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Viacava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(Pesquisador do ICICT/Fiocruz)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31</w:t>
            </w:r>
          </w:p>
        </w:tc>
      </w:tr>
      <w:tr w:rsidR="008D21F7" w:rsidTr="008D21F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Mesa Nacional de Negociação Permanente do SUS: conquistas e perspectivas</w:t>
            </w:r>
          </w:p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13/04/2011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Antenor Amâncio Filho (Pesquisador da ENSP/Fiocruz) e Sérgio Pacheco de Oliveira (Pesquisador da ENSP/Fiocruz)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João Batista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Militão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(Ministério da Saúde)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19</w:t>
            </w:r>
          </w:p>
        </w:tc>
      </w:tr>
      <w:tr w:rsidR="008D21F7" w:rsidTr="008D21F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Concessão de patentes e anuência prévia da Anvisa: até onde pode ir a Saúde Coletiva</w:t>
            </w:r>
          </w:p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27/04/2011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Claudia Garcia Serpa Osorio de Castro (Pesquisadora da ENSP/Fiocruz)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Marilena Cordeiro Dias Villela Corrêa (UERJ/IMS), Gabriela Costa Chaves (Pesquisadora da ENSP/Fiocruz) e Vania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Lindoso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(Procuradoria Federal da Advocacia Geral da União)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32</w:t>
            </w:r>
          </w:p>
        </w:tc>
      </w:tr>
      <w:tr w:rsidR="008D21F7" w:rsidTr="008D21F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Atual proposta para o Cartão Nacional de Saúde Cartão SUS</w:t>
            </w:r>
          </w:p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04/05/2011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Ilara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Hämmerli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Sozzi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(Pesquisadora da ENSP/Fiocruz)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Luiz Odorico Monteiro de Andrade (Dep. Federal) e Sibele Freitas (Secretaria Executiva do Ministério da Saúde)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22</w:t>
            </w:r>
          </w:p>
        </w:tc>
      </w:tr>
      <w:tr w:rsidR="008D21F7" w:rsidTr="008D21F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Objeção da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Consiência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e Aborto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11/05/2011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Sergio Rego (Pesquisador da ENSP/Fiocruz)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Débora Diniz (Professora da UnB) e Maria Helena Machado (Pesquisadora da ENSP/Fiocruz)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24</w:t>
            </w:r>
          </w:p>
        </w:tc>
      </w:tr>
      <w:tr w:rsidR="008D21F7" w:rsidTr="008D21F7">
        <w:trPr>
          <w:trHeight w:val="80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lastRenderedPageBreak/>
              <w:t xml:space="preserve">Apologia de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Cabanis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, Negação de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Flexner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: Rupturas da Formação em Saúde no Brasil</w:t>
            </w:r>
          </w:p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18/05/2011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Margareth Portela (Pesquisadora da ENSP/Fiocruz)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Naomar de Almeida Monteiro Filho (UFBA)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29</w:t>
            </w:r>
          </w:p>
        </w:tc>
      </w:tr>
      <w:tr w:rsidR="008D21F7" w:rsidTr="008D21F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Subsídios para uma nova política de drogas: consumo de crack e saúde pública</w:t>
            </w:r>
          </w:p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25/05/2011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Monica Malta (Professora da ENSP/Fiocruz)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Fabiana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Lutosa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Gaspar (Coordenação da Organização Social de Saúde Viva Comunidade), Francisco Inácio Bastos (Pesquisador do ICICT/Fiocruz) e Julita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Lemgruber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(UCAM)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30</w:t>
            </w:r>
          </w:p>
        </w:tc>
      </w:tr>
    </w:tbl>
    <w:p w:rsidR="008D21F7" w:rsidRDefault="008D21F7" w:rsidP="008D21F7">
      <w:pPr>
        <w:spacing w:line="360" w:lineRule="auto"/>
        <w:ind w:firstLine="1418"/>
        <w:jc w:val="center"/>
        <w:rPr>
          <w:b/>
          <w:sz w:val="32"/>
          <w:szCs w:val="15"/>
        </w:rPr>
      </w:pPr>
      <w:r>
        <w:rPr>
          <w:b/>
          <w:sz w:val="32"/>
          <w:szCs w:val="15"/>
        </w:rPr>
        <w:lastRenderedPageBreak/>
        <w:t>CEENSP em 2011</w:t>
      </w:r>
    </w:p>
    <w:p w:rsidR="008D21F7" w:rsidRDefault="008D21F7" w:rsidP="008D21F7">
      <w:pPr>
        <w:spacing w:line="360" w:lineRule="auto"/>
        <w:ind w:firstLine="1418"/>
        <w:rPr>
          <w:rFonts w:ascii="Calibri" w:hAnsi="Calibri"/>
          <w:sz w:val="15"/>
          <w:szCs w:val="15"/>
        </w:rPr>
      </w:pPr>
    </w:p>
    <w:p w:rsidR="008D21F7" w:rsidRDefault="008D21F7" w:rsidP="008D21F7">
      <w:pPr>
        <w:spacing w:line="360" w:lineRule="auto"/>
        <w:ind w:firstLine="1418"/>
        <w:rPr>
          <w:rFonts w:ascii="Calibri" w:hAnsi="Calibri"/>
          <w:sz w:val="15"/>
          <w:szCs w:val="15"/>
        </w:rPr>
      </w:pPr>
    </w:p>
    <w:p w:rsidR="008D21F7" w:rsidRDefault="008D21F7" w:rsidP="008D21F7">
      <w:pPr>
        <w:spacing w:line="360" w:lineRule="auto"/>
        <w:ind w:firstLine="1418"/>
        <w:rPr>
          <w:rFonts w:ascii="Calibri" w:hAnsi="Calibri"/>
          <w:sz w:val="15"/>
          <w:szCs w:val="15"/>
        </w:rPr>
      </w:pPr>
    </w:p>
    <w:p w:rsidR="008D21F7" w:rsidRDefault="008D21F7" w:rsidP="008D21F7">
      <w:pPr>
        <w:spacing w:line="360" w:lineRule="auto"/>
        <w:ind w:firstLine="1418"/>
        <w:rPr>
          <w:rFonts w:ascii="Calibri" w:hAnsi="Calibri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403"/>
        <w:gridCol w:w="1437"/>
        <w:gridCol w:w="1447"/>
        <w:gridCol w:w="1457"/>
        <w:gridCol w:w="1294"/>
      </w:tblGrid>
      <w:tr w:rsidR="008D21F7" w:rsidTr="008D21F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Campanha de Desarmamento Voluntário - Prós e contras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08/06/2011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Simone Gonçalves de Assis (Pesquisadora da ENSP/Fiocruz)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Antonio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Rangel Bandeira (Projeto de Controle de Armas Viva Rio)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11</w:t>
            </w:r>
          </w:p>
        </w:tc>
      </w:tr>
      <w:tr w:rsidR="008D21F7" w:rsidTr="008D21F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Controle do Tabagismo: interferência na liberdade?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31/08/2011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Vera Luiza da Costa e silva (CETAB)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Lenildo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Moura (SVS/Ministério da Saúde), Tânia Maria Cavalcante (Comissão Nacional de Implantação da Convenção-Quadro para o controle de tabaco), Paula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Johns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(ACTBR) e Agenor Álvares (Anvisa)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21</w:t>
            </w:r>
          </w:p>
        </w:tc>
      </w:tr>
      <w:tr w:rsidR="008D21F7" w:rsidTr="008D21F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Saúde no Brasil: A Série Lancet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14/09/2011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Margareth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Crisóstomo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Portela (ENSP/Fiocruz)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Célia Almeida (Pesquisadora da ENSP/Fiocruz), Estela Aquino (UFBA), Celia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Landmann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(Pesquisadora do ICICT/Fiocruz),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Gulnar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Azevedo e Silva (UERJ/IMS), Maria da Glória Teixeira (UFBA), Maria do Carmo Leal (Pesquisadora da ENSP/Fiocruz) e Michael Eduardo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Reichenhein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(UERJ/IMS)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23</w:t>
            </w:r>
          </w:p>
        </w:tc>
      </w:tr>
      <w:tr w:rsidR="008D21F7" w:rsidTr="008D21F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Agenda Estratégica para a saúde no Brasil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21/09/2011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Maria Helena Mendonça (Pesquisadora da ENSP/Fiocruz)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Ligia Bahia (UFRJ/IESC) e Ana Costa (UERJ)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21</w:t>
            </w:r>
          </w:p>
        </w:tc>
      </w:tr>
      <w:tr w:rsidR="008D21F7" w:rsidTr="008D21F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lastRenderedPageBreak/>
              <w:t>Regionalização e Relações Federativas na Política de Saúde do Brasil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05/10/2011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Luciana Dias de Lima (Pesquisadora da ENSP/Fiocruz)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Ana Luiza D’Ávila Viana (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Decit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/SCITIE) e Isabel Maria Vilas Boas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Senra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(Ministério da Saúde)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21</w:t>
            </w:r>
          </w:p>
        </w:tc>
      </w:tr>
      <w:tr w:rsidR="008D21F7" w:rsidTr="008D21F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O Sistema de Justiça e as demandas judiciais de Saúde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19/10/2011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Vera Lucia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Edias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Pepe (Pesquisadora da ENSP/Fiocruz)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Maria Paula Gouveia (Juíza de Direito da quarta vara de Fazenda Pública) e Monica Campos de Ré (Procuradora Federal)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22</w:t>
            </w:r>
          </w:p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</w:tr>
      <w:tr w:rsidR="008D21F7" w:rsidTr="008D21F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Segurança Alimentar de Bebês: Um direito relegado pela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cultira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da mamadeira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27/10/2011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0</w:t>
            </w:r>
          </w:p>
        </w:tc>
      </w:tr>
      <w:tr w:rsidR="008D21F7" w:rsidTr="008D21F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Gerindo Biotecnologias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09/11/2011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Jeni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Vaistman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(Pesquisadora da ENSP/Fiocruz)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Virginie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Tournay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(Universidade de Paris)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12</w:t>
            </w:r>
          </w:p>
        </w:tc>
      </w:tr>
      <w:tr w:rsidR="008D21F7" w:rsidTr="008D21F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Os Grandes Eventos Esportivos dos Próximos Anos e o Impacto na Sociedade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16/11/2011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Álvaro Nascimento (Pesquisador da ENSP/Fiocruz)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Carlos Bernardo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Vainer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Ippur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>/UFRJ)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4</w:t>
            </w:r>
          </w:p>
        </w:tc>
      </w:tr>
      <w:tr w:rsidR="008D21F7" w:rsidTr="008D21F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O Sistema de Saúde Brasileiro e o Dilema Público/Privado: Continuidades e Mudanças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23/11/2011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Silvia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Gearschman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(Pesquisadora da ENSP/Fiocruz)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Aquilas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Mendes (USP) e Maria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Angelica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Borges dos Santos (Pesquisadora da ENSP/Fiocruz)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22</w:t>
            </w:r>
          </w:p>
        </w:tc>
      </w:tr>
      <w:tr w:rsidR="008D21F7" w:rsidTr="008D21F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Os Direitos Humanos e a Política de Atenção Integral às Urgências do SUS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30/11/2011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Gisele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O´Dwyer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(Pesquisadora da ENSP/Fiocruz)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Armando de Negri Filho (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HCor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>) e Paulo de Tarso Abrahão (CGUE)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360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12</w:t>
            </w:r>
          </w:p>
        </w:tc>
      </w:tr>
    </w:tbl>
    <w:p w:rsidR="008D21F7" w:rsidRDefault="008D21F7" w:rsidP="008D21F7">
      <w:pPr>
        <w:spacing w:line="360" w:lineRule="auto"/>
        <w:ind w:firstLine="1418"/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 xml:space="preserve"> </w:t>
      </w:r>
    </w:p>
    <w:p w:rsidR="008D21F7" w:rsidRDefault="008D21F7" w:rsidP="008D21F7">
      <w:pPr>
        <w:spacing w:line="360" w:lineRule="auto"/>
        <w:ind w:firstLine="1418"/>
        <w:rPr>
          <w:rFonts w:ascii="Calibri" w:hAnsi="Calibri"/>
          <w:sz w:val="15"/>
          <w:szCs w:val="15"/>
        </w:rPr>
      </w:pPr>
    </w:p>
    <w:p w:rsidR="008D21F7" w:rsidRDefault="008D21F7" w:rsidP="008D21F7">
      <w:pPr>
        <w:spacing w:line="360" w:lineRule="auto"/>
        <w:ind w:firstLine="1418"/>
        <w:jc w:val="both"/>
        <w:rPr>
          <w:sz w:val="24"/>
          <w:szCs w:val="24"/>
        </w:rPr>
      </w:pPr>
    </w:p>
    <w:p w:rsidR="008D21F7" w:rsidRDefault="008D21F7" w:rsidP="008D21F7">
      <w:pPr>
        <w:spacing w:line="360" w:lineRule="auto"/>
        <w:ind w:firstLine="1418"/>
        <w:jc w:val="both"/>
        <w:rPr>
          <w:sz w:val="24"/>
          <w:szCs w:val="24"/>
        </w:rPr>
      </w:pPr>
    </w:p>
    <w:p w:rsidR="008D21F7" w:rsidRDefault="008D21F7" w:rsidP="008D21F7">
      <w:pPr>
        <w:spacing w:line="360" w:lineRule="auto"/>
        <w:ind w:firstLine="1418"/>
        <w:rPr>
          <w:rFonts w:ascii="Calibri" w:hAnsi="Calibri"/>
          <w:sz w:val="15"/>
          <w:szCs w:val="15"/>
        </w:rPr>
      </w:pPr>
    </w:p>
    <w:p w:rsidR="008D21F7" w:rsidRDefault="008D21F7" w:rsidP="008D21F7">
      <w:pPr>
        <w:spacing w:line="360" w:lineRule="auto"/>
        <w:rPr>
          <w:rFonts w:ascii="Calibri" w:hAnsi="Calibri"/>
          <w:sz w:val="15"/>
          <w:szCs w:val="15"/>
        </w:rPr>
      </w:pPr>
    </w:p>
    <w:p w:rsidR="008D21F7" w:rsidRDefault="008D21F7" w:rsidP="008D21F7">
      <w:pPr>
        <w:spacing w:line="360" w:lineRule="auto"/>
        <w:ind w:firstLine="1418"/>
        <w:jc w:val="both"/>
        <w:rPr>
          <w:sz w:val="24"/>
          <w:szCs w:val="24"/>
        </w:rPr>
      </w:pPr>
    </w:p>
    <w:p w:rsidR="008D21F7" w:rsidRDefault="008D21F7" w:rsidP="008D21F7">
      <w:pPr>
        <w:spacing w:line="36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CEENSP em 2012</w:t>
      </w:r>
    </w:p>
    <w:p w:rsidR="008D21F7" w:rsidRDefault="008D21F7" w:rsidP="008D21F7">
      <w:pPr>
        <w:spacing w:line="360" w:lineRule="auto"/>
        <w:ind w:firstLine="1418"/>
        <w:jc w:val="center"/>
        <w:rPr>
          <w:sz w:val="32"/>
          <w:szCs w:val="24"/>
        </w:rPr>
      </w:pPr>
    </w:p>
    <w:tbl>
      <w:tblPr>
        <w:tblW w:w="864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1275"/>
        <w:gridCol w:w="1843"/>
        <w:gridCol w:w="1417"/>
        <w:gridCol w:w="1418"/>
        <w:gridCol w:w="850"/>
      </w:tblGrid>
      <w:tr w:rsidR="008D21F7" w:rsidTr="008D21F7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Título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Coordenação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Palestrantes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Não Alunos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Alunos</w:t>
            </w:r>
          </w:p>
        </w:tc>
      </w:tr>
      <w:tr w:rsidR="008D21F7" w:rsidTr="008D21F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D21F7" w:rsidTr="008D21F7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Avanços científicos recentes na questão das mudanças climáticas globais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16 de março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Sandra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Hacon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Paulo Eduardo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Artaxo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(USP)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29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lastRenderedPageBreak/>
              <w:t>Saúde Primal: da concepção até o primeiro ano de vida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28 de março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Maria do Carmo Leal (Pesquisadora da 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Michel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Odent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(Médico)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13</w:t>
            </w:r>
          </w:p>
        </w:tc>
      </w:tr>
      <w:tr w:rsidR="008D21F7" w:rsidTr="008D21F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Crise, Regionalização e Globalização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11 de abril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Jeni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Vaitsman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(Pesquisadora da 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Célia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Himmelfarb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Institut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d’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Études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Politiques)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16</w:t>
            </w:r>
          </w:p>
        </w:tc>
      </w:tr>
      <w:tr w:rsidR="008D21F7" w:rsidTr="008D21F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IDSUS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18 de abril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Francisco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Viacava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(Pesquisador do ICICT/Fiocruz)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Heider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Aurélio Pinto (DAB) e Afonso Teixeira dos Reis (Coordenador Geral de Monitoramento e Avaliação)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23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Tendência da política de combate ao crack: para onde vamos?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 de maio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Paulo Amarante (Pesquisador da 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Lumena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Furtado (SAS/MS), Luiz Paulo Guanabara (INPUD) e Denis Russo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Burgierman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Hivelab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19</w:t>
            </w:r>
          </w:p>
        </w:tc>
      </w:tr>
      <w:tr w:rsidR="008D21F7" w:rsidTr="008D21F7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Riscofobia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>, Determinantes Sociais e a Relação Indústria/Estado/Consumo: ampliando o cenário diante das doenças crônicas não transmissíveis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16 de maio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Vera Luiza da Costa e Silva (CETAB)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Luis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David Castiel (Pesquisador da ENSP/Fiocruz), Vilma Santana (UFBA) e José Gomes Temporão (Médico)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14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Avaliação na Perspectiva da Promoção da Saúde e da Equidade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29 de maio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Regina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Bodstein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(Pesquisadora da 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Ligia de Salazar (NESP)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15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Correlation and Causation: Bradford Hill in Epistemological Context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13 de junho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Vera Lucia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Edais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Pepe (Pesquisadora da 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Susan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Haack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(Universidade de Miami)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11</w:t>
            </w:r>
          </w:p>
        </w:tc>
      </w:tr>
      <w:tr w:rsidR="008D21F7" w:rsidTr="008D21F7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Ética do acesso ao diagnóstico, prevenção, cuidado e pesquisa na Tuberculose e AIDS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27 de junho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Margareth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Dalcolmo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(Pesquisadora do CRPHF/Fiocruz)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Dirceu Greco (UFMG) e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Draurio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Barreira (PNCT)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9</w:t>
            </w:r>
          </w:p>
        </w:tc>
      </w:tr>
      <w:tr w:rsidR="008D21F7" w:rsidTr="008D21F7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A governança das pesquisas com células-tronco no Brasil e comparação globais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29 de agosto 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Fermin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Roland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Schramm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(Pesquisador da 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Liliana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Acero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(University of Sussex)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7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Territória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Escola Manguinhos: todos somos aprendizes!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3 de outubro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Elyne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Engstron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, Pesquisadora da ENSP/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Ficoruz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ap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Isabela Santos (Pesquisadora da ENSP/Fiocruz), Carlos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Aguillera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Campos UFRJ), Marco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Akerman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(USP), Sandra Venâncio (Pesquisadora da ENSP/Fiocruz) e Maria Alice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Pessanha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(Pesquisadora da ENSP/Fiocruz)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12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Uma maré de conflitos ambientais na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America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Latina e no Mundo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24 de outubro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Marcelo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Firpo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(Pesquisador da 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Joan Martínez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Alier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(Universidade Autónoma de Barcelona)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17</w:t>
            </w:r>
          </w:p>
        </w:tc>
      </w:tr>
      <w:tr w:rsidR="008D21F7" w:rsidTr="008D21F7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Introduções de novas vacinas em programas de imunização: critérios e desafios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31 de outubro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Luiz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Antonio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Bastos Camacho (Pesquisador da 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Lúcia Helena de Oliveira (USP),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Denizar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Viana (UERJ) e Nair Florentina (SVS/MS)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11</w:t>
            </w:r>
          </w:p>
        </w:tc>
      </w:tr>
      <w:tr w:rsidR="008D21F7" w:rsidTr="008D21F7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Cadernos de Saúde Pública - três décadas de inovação em divulgação científica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7 de novembro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Carlos Coimbra Jr. (Pesquisador da 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Marília Sá Carvalho (PROCC/Fiocruz), Claudia Maria Travassos (ICICT/Fiocruz) e Cláudia Medina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Coeli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(IESC/UFRJ)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11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Saúde do Trabalhador: Novas referências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21 de novembro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Paulo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Sabroza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Paulo Rogério Albuquerque de Oliveira (MPS)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17</w:t>
            </w:r>
          </w:p>
        </w:tc>
      </w:tr>
      <w:tr w:rsidR="008D21F7" w:rsidTr="008D21F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Álcool: uma questão de saúde pública?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28 de novembro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Francisco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Pinkusfeld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Bastos (ICICT/Fiocruz)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Raquel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Brandini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de Boni (INI/Fiocruz)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5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lastRenderedPageBreak/>
              <w:t>Agenda Global para os Hospitais Verdes e Saudáveis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5 de dezembro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Francisco Braga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Vital Ribeiro e Rejane Tavares (CVSSP), Rejane Tavares (ENSP/Fiocruz)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7</w:t>
            </w:r>
          </w:p>
        </w:tc>
      </w:tr>
    </w:tbl>
    <w:p w:rsidR="008D21F7" w:rsidRDefault="008D21F7" w:rsidP="008D21F7">
      <w:pPr>
        <w:spacing w:line="360" w:lineRule="auto"/>
        <w:ind w:firstLine="1418"/>
        <w:jc w:val="center"/>
        <w:rPr>
          <w:sz w:val="32"/>
          <w:szCs w:val="24"/>
        </w:rPr>
      </w:pPr>
    </w:p>
    <w:p w:rsidR="008D21F7" w:rsidRDefault="008D21F7" w:rsidP="008D21F7">
      <w:pPr>
        <w:spacing w:line="360" w:lineRule="auto"/>
        <w:ind w:firstLine="1418"/>
        <w:jc w:val="center"/>
        <w:rPr>
          <w:sz w:val="32"/>
          <w:szCs w:val="24"/>
        </w:rPr>
      </w:pPr>
    </w:p>
    <w:p w:rsidR="008D21F7" w:rsidRDefault="008D21F7" w:rsidP="008D21F7">
      <w:pPr>
        <w:spacing w:line="360" w:lineRule="auto"/>
        <w:ind w:firstLine="1418"/>
        <w:jc w:val="center"/>
        <w:rPr>
          <w:sz w:val="32"/>
          <w:szCs w:val="24"/>
        </w:rPr>
      </w:pPr>
    </w:p>
    <w:p w:rsidR="008D21F7" w:rsidRDefault="008D21F7" w:rsidP="008D21F7">
      <w:pPr>
        <w:spacing w:line="36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CEENSP em 2013</w:t>
      </w:r>
    </w:p>
    <w:p w:rsidR="008D21F7" w:rsidRDefault="008D21F7" w:rsidP="008D21F7">
      <w:pPr>
        <w:spacing w:line="360" w:lineRule="auto"/>
        <w:ind w:firstLine="1418"/>
        <w:jc w:val="center"/>
        <w:rPr>
          <w:sz w:val="32"/>
          <w:szCs w:val="24"/>
        </w:rPr>
      </w:pPr>
    </w:p>
    <w:tbl>
      <w:tblPr>
        <w:tblW w:w="892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1276"/>
        <w:gridCol w:w="1843"/>
        <w:gridCol w:w="1417"/>
        <w:gridCol w:w="1418"/>
        <w:gridCol w:w="1134"/>
      </w:tblGrid>
      <w:tr w:rsidR="008D21F7" w:rsidTr="008D21F7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Título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Coordenação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Palestrantes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Não Alunos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Alunos</w:t>
            </w:r>
          </w:p>
        </w:tc>
      </w:tr>
      <w:tr w:rsidR="008D21F7" w:rsidTr="008D21F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1F7" w:rsidTr="008D21F7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A nova tecnologia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GeneXpert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e seu impacto na organização de serviços, captação de casos e controle da tuberculose droga resistente</w:t>
            </w:r>
          </w:p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27/02/2013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Gisele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O´Dwyer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e Jesus Pais Ramos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Fernanda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Dockhorn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Costa (Programa Nacional de Controle da Tuberculose), Maria Claudia da Silva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Vater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(NESC/UFRJ),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Betina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Durovini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(SUBPAV), Fatima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Fandinho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e Miguel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Aiub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Hijjar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(CRPHF/Fiocruz)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7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Desgovernança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e Sustentabilidade</w:t>
            </w:r>
          </w:p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13/03/2013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José Eli da Veiga (USP)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8</w:t>
            </w:r>
          </w:p>
        </w:tc>
      </w:tr>
      <w:tr w:rsidR="008D21F7" w:rsidTr="008D21F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Território, Desastres e Políticas Públicas</w:t>
            </w:r>
          </w:p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27/03/2013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Paulo Barrocas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José Luís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Zêzere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(Universidade de Lisboa)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8D21F7" w:rsidTr="008D21F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Financiamento em Pesquisa no Rio de Janeiro</w:t>
            </w:r>
          </w:p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05/04/2013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Claude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Pirmez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Ruy Garcia Marques (FAPERJ)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14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Farmacoepidemiologia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e tomada de decisão em sistemas de saúde</w:t>
            </w:r>
          </w:p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17/04/2013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Claudia Garcia Serpa Osorio de Castro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Calibri" w:hAnsi="Calibri"/>
                <w:sz w:val="14"/>
                <w:szCs w:val="14"/>
                <w:lang w:val="en-US" w:eastAsia="en-US"/>
              </w:rPr>
              <w:t xml:space="preserve">Helena </w:t>
            </w:r>
            <w:proofErr w:type="spellStart"/>
            <w:r>
              <w:rPr>
                <w:rFonts w:ascii="Calibri" w:hAnsi="Calibri"/>
                <w:sz w:val="14"/>
                <w:szCs w:val="14"/>
                <w:lang w:val="en-US" w:eastAsia="en-US"/>
              </w:rPr>
              <w:t>Lutéscia</w:t>
            </w:r>
            <w:proofErr w:type="spellEnd"/>
            <w:r>
              <w:rPr>
                <w:rFonts w:ascii="Calibri" w:hAnsi="Calibri"/>
                <w:sz w:val="14"/>
                <w:szCs w:val="14"/>
                <w:lang w:val="en-US" w:eastAsia="en-US"/>
              </w:rPr>
              <w:t xml:space="preserve"> Luna Coelho (UFCE), Bjorn </w:t>
            </w:r>
            <w:proofErr w:type="spellStart"/>
            <w:r>
              <w:rPr>
                <w:rFonts w:ascii="Calibri" w:hAnsi="Calibri"/>
                <w:sz w:val="14"/>
                <w:szCs w:val="14"/>
                <w:lang w:val="en-US" w:eastAsia="en-US"/>
              </w:rPr>
              <w:t>Wettermark</w:t>
            </w:r>
            <w:proofErr w:type="spellEnd"/>
            <w:r>
              <w:rPr>
                <w:rFonts w:ascii="Calibri" w:hAnsi="Calibri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4"/>
                <w:szCs w:val="14"/>
                <w:lang w:val="en-US" w:eastAsia="en-US"/>
              </w:rPr>
              <w:t>Karolinska</w:t>
            </w:r>
            <w:proofErr w:type="spellEnd"/>
            <w:r>
              <w:rPr>
                <w:rFonts w:ascii="Calibri" w:hAnsi="Calibri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szCs w:val="14"/>
                <w:lang w:val="en-US" w:eastAsia="en-US"/>
              </w:rPr>
              <w:t>Institutet</w:t>
            </w:r>
            <w:proofErr w:type="spellEnd"/>
            <w:r>
              <w:rPr>
                <w:rFonts w:ascii="Calibri" w:hAnsi="Calibri"/>
                <w:sz w:val="14"/>
                <w:szCs w:val="14"/>
                <w:lang w:val="en-US" w:eastAsia="en-US"/>
              </w:rPr>
              <w:t xml:space="preserve">) e Brian </w:t>
            </w:r>
            <w:proofErr w:type="spellStart"/>
            <w:r>
              <w:rPr>
                <w:rFonts w:ascii="Calibri" w:hAnsi="Calibri"/>
                <w:sz w:val="14"/>
                <w:szCs w:val="14"/>
                <w:lang w:val="en-US" w:eastAsia="en-US"/>
              </w:rPr>
              <w:t>Godman</w:t>
            </w:r>
            <w:proofErr w:type="spellEnd"/>
            <w:r>
              <w:rPr>
                <w:rFonts w:ascii="Calibri" w:hAnsi="Calibri"/>
                <w:sz w:val="14"/>
                <w:szCs w:val="14"/>
                <w:lang w:val="en-US" w:eastAsia="en-US"/>
              </w:rPr>
              <w:t xml:space="preserve"> (University of </w:t>
            </w:r>
            <w:proofErr w:type="spellStart"/>
            <w:r>
              <w:rPr>
                <w:rFonts w:ascii="Calibri" w:hAnsi="Calibri"/>
                <w:sz w:val="14"/>
                <w:szCs w:val="14"/>
                <w:lang w:val="en-US" w:eastAsia="en-US"/>
              </w:rPr>
              <w:t>Strathclyde</w:t>
            </w:r>
            <w:proofErr w:type="spellEnd"/>
            <w:r>
              <w:rPr>
                <w:rFonts w:ascii="Calibri" w:hAnsi="Calibri"/>
                <w:sz w:val="14"/>
                <w:szCs w:val="14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9</w:t>
            </w:r>
          </w:p>
        </w:tc>
      </w:tr>
      <w:tr w:rsidR="008D21F7" w:rsidTr="008D21F7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Monitoramento de condições de vida e saúde em áreas de implantação de grandes empreendimentos: desafios metodológicos</w:t>
            </w:r>
          </w:p>
          <w:p w:rsidR="008D21F7" w:rsidRDefault="008D21F7">
            <w:pPr>
              <w:spacing w:line="25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24/04/2013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pStyle w:val="TextosemFormatao"/>
              <w:spacing w:line="256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Valcler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Rangel Fernandes (Fiocruz)</w:t>
            </w:r>
          </w:p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pStyle w:val="TextosemFormatao"/>
              <w:spacing w:line="256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Luciano Medeiros de Toledo (ENSP/Fiocruz), Paulo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Chagastelles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Sabroza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(ENSP/Fiocruz) e Luiz Antônio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Pazos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(BNDS)</w:t>
            </w:r>
          </w:p>
          <w:p w:rsidR="008D21F7" w:rsidRDefault="008D21F7">
            <w:pPr>
              <w:pStyle w:val="TextosemFormatao"/>
              <w:spacing w:line="256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7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Vigilância Sanitária nos eventos de massa: a importância do voluntariado</w:t>
            </w:r>
          </w:p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15/05/2013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Vera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Edais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Pepe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Denise de Oliveira Resende (Anvisa)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8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Indústria, mercado e determinantes sociais no controle das doenças crônicas não transmissíveis</w:t>
            </w:r>
          </w:p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22/05/2013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Vera Luiza da Costa e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Luiz David Castiel (ENSP/Fiocruz), Alberto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Pelegrine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(Comissão Nacional de Determinantes Sociais da Saúde) e Paula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Johns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(ACTBR)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15</w:t>
            </w:r>
          </w:p>
        </w:tc>
      </w:tr>
      <w:tr w:rsidR="008D21F7" w:rsidTr="008D21F7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Vigilância do óbito materno, infantil e fetal na atuação em comitês de mortalidade</w:t>
            </w:r>
          </w:p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19/06/2013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 w:cs="Arial"/>
                <w:color w:val="222222"/>
                <w:sz w:val="14"/>
                <w:szCs w:val="14"/>
                <w:shd w:val="clear" w:color="auto" w:fill="FFFFFF"/>
                <w:lang w:eastAsia="en-US"/>
              </w:rPr>
              <w:t>Sonia Duarte de Azevedo Bittencourt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Sandra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Valongueiro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Alves (UFPE), Sônia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Lansky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(SMS-BH) e Marcos Augusto Bastos Dias (IFF/Fiocruz)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7</w:t>
            </w:r>
          </w:p>
        </w:tc>
      </w:tr>
      <w:tr w:rsidR="008D21F7" w:rsidTr="008D21F7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lastRenderedPageBreak/>
              <w:t>Avaliação dos três anos de Experiência dos Novos Modelos de Gestão na Atenção Básica no Rio de Janeiro</w:t>
            </w:r>
          </w:p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31/07/2013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Maria Angélica Borges dos Santos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Paulo Pinheiro (Dep. Federal), Maria de Fátima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Siliansky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de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Andreazzi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(UFRJ),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Sheyla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Maria Lemos Lima (ENSP/Fiocruz) e Daniel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Soranz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(Secretário de Saúde RJ)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NÃO CONTABILIZADO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22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“Muito Além do Peso”</w:t>
            </w:r>
          </w:p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07/08/2013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Rosana Magalhães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Ekaterine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Karageorgiadis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(CONSEA)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15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Determinantes sociais de saúde: como as desigualdades se expressam no trabalho?</w:t>
            </w:r>
          </w:p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21/08/2013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Dóra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Chor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Susanna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Toivanen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Karolinska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Institute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25</w:t>
            </w:r>
          </w:p>
        </w:tc>
      </w:tr>
      <w:tr w:rsidR="008D21F7" w:rsidTr="008D21F7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Classes Sociais, Território e Saúde</w:t>
            </w:r>
          </w:p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28/08/2013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Felix Rosenberg (Fórum Itaboraí/Fiocruz)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Armando de Negri (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HCor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), Carlos Brandão (UFRJ), José Figueiredo (UFJF), Ary Carvalho de Miranda (ENSP/Fiocruz) e Eduardo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Stotz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(ENSP/Fiocruz)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16</w:t>
            </w:r>
          </w:p>
        </w:tc>
      </w:tr>
      <w:tr w:rsidR="008D21F7" w:rsidTr="008D21F7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Privacidade, dados pessoais e dados corporais na sociedade da tecnologia da informação</w:t>
            </w:r>
          </w:p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11/09/2013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Angela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Esher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Diego Carvalho Machado (CULMG),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Ilara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Hammerli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(ENSP/Fiocruz) e Carolina Mendes Franco (ENSP/Fiocruz)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10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“Mulheres de Aço”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18/09/2013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Cecília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Minayo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Valério de Aragão Sadio (Delegada de Polícia Civil-RJ),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Mj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. Alessandra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Veruska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(PMERJ) e Susanna Lira (Diretora da série Mulheres de Aço)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8</w:t>
            </w:r>
          </w:p>
        </w:tc>
      </w:tr>
      <w:tr w:rsidR="008D21F7" w:rsidTr="008D21F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Elsa Brasil: primeiros resultados</w:t>
            </w:r>
          </w:p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23/10/2013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Dóra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Chor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Rosane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Harter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(IOC/Fiocruz), Letícia de Oliveira Cardoso (ENSP/Fiocruz) e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Enirtes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Caetano (ENSP/Fiocruz)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16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Morte Materna e Cesariana</w:t>
            </w:r>
          </w:p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24/10/2013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Maria do Carmo Leal (ENSP/Fiocruz)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Marie-Hélène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Bovier-Colle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Inserm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13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Produção científica, produtividade e construção do conhecimento</w:t>
            </w:r>
          </w:p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06/11/2013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Sheila Mendonça de Souza (ENSP/Fiocruz)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Marcela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Pronko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(EPSJV/Fiocruz) e Regina Simões Barbosa (NESC/UFRJ)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7</w:t>
            </w:r>
          </w:p>
        </w:tc>
      </w:tr>
    </w:tbl>
    <w:p w:rsidR="008D21F7" w:rsidRDefault="008D21F7" w:rsidP="008D21F7">
      <w:pPr>
        <w:spacing w:line="360" w:lineRule="auto"/>
        <w:ind w:firstLine="1418"/>
        <w:jc w:val="center"/>
        <w:rPr>
          <w:sz w:val="32"/>
          <w:szCs w:val="24"/>
        </w:rPr>
      </w:pPr>
    </w:p>
    <w:p w:rsidR="008D21F7" w:rsidRDefault="008D21F7" w:rsidP="008D21F7">
      <w:pPr>
        <w:spacing w:line="360" w:lineRule="auto"/>
        <w:jc w:val="center"/>
        <w:rPr>
          <w:b/>
          <w:sz w:val="32"/>
          <w:szCs w:val="24"/>
        </w:rPr>
      </w:pPr>
    </w:p>
    <w:p w:rsidR="008D21F7" w:rsidRDefault="008D21F7" w:rsidP="008D21F7">
      <w:pPr>
        <w:spacing w:line="360" w:lineRule="auto"/>
        <w:jc w:val="center"/>
        <w:rPr>
          <w:b/>
          <w:sz w:val="32"/>
          <w:szCs w:val="24"/>
        </w:rPr>
      </w:pPr>
    </w:p>
    <w:p w:rsidR="008D21F7" w:rsidRDefault="008D21F7" w:rsidP="008D21F7">
      <w:pPr>
        <w:spacing w:line="360" w:lineRule="auto"/>
        <w:jc w:val="center"/>
        <w:rPr>
          <w:b/>
          <w:sz w:val="32"/>
          <w:szCs w:val="24"/>
        </w:rPr>
      </w:pPr>
    </w:p>
    <w:p w:rsidR="008D21F7" w:rsidRDefault="008D21F7" w:rsidP="008D21F7">
      <w:pPr>
        <w:spacing w:line="360" w:lineRule="auto"/>
        <w:jc w:val="center"/>
        <w:rPr>
          <w:b/>
          <w:sz w:val="32"/>
          <w:szCs w:val="24"/>
        </w:rPr>
      </w:pPr>
    </w:p>
    <w:p w:rsidR="008D21F7" w:rsidRDefault="008D21F7" w:rsidP="008D21F7">
      <w:pPr>
        <w:spacing w:line="360" w:lineRule="auto"/>
        <w:jc w:val="center"/>
        <w:rPr>
          <w:b/>
          <w:sz w:val="32"/>
          <w:szCs w:val="24"/>
        </w:rPr>
      </w:pPr>
    </w:p>
    <w:p w:rsidR="008D21F7" w:rsidRDefault="008D21F7" w:rsidP="008D21F7">
      <w:pPr>
        <w:spacing w:line="360" w:lineRule="auto"/>
        <w:jc w:val="center"/>
        <w:rPr>
          <w:b/>
          <w:sz w:val="32"/>
          <w:szCs w:val="24"/>
        </w:rPr>
      </w:pPr>
    </w:p>
    <w:p w:rsidR="008D21F7" w:rsidRDefault="008D21F7" w:rsidP="008D21F7">
      <w:pPr>
        <w:spacing w:line="360" w:lineRule="auto"/>
        <w:jc w:val="center"/>
        <w:rPr>
          <w:b/>
          <w:sz w:val="32"/>
          <w:szCs w:val="24"/>
        </w:rPr>
      </w:pPr>
    </w:p>
    <w:p w:rsidR="008D21F7" w:rsidRDefault="008D21F7" w:rsidP="008D21F7">
      <w:pPr>
        <w:spacing w:line="360" w:lineRule="auto"/>
        <w:jc w:val="center"/>
        <w:rPr>
          <w:sz w:val="32"/>
          <w:szCs w:val="24"/>
        </w:rPr>
      </w:pPr>
      <w:r>
        <w:rPr>
          <w:b/>
          <w:sz w:val="32"/>
          <w:szCs w:val="24"/>
        </w:rPr>
        <w:lastRenderedPageBreak/>
        <w:t>CEENSP em 2014</w:t>
      </w:r>
    </w:p>
    <w:p w:rsidR="008D21F7" w:rsidRDefault="008D21F7" w:rsidP="008D21F7">
      <w:pPr>
        <w:spacing w:line="360" w:lineRule="auto"/>
        <w:ind w:firstLine="1418"/>
        <w:jc w:val="center"/>
        <w:rPr>
          <w:sz w:val="32"/>
          <w:szCs w:val="24"/>
        </w:rPr>
      </w:pPr>
    </w:p>
    <w:tbl>
      <w:tblPr>
        <w:tblW w:w="892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1276"/>
        <w:gridCol w:w="1843"/>
        <w:gridCol w:w="1417"/>
        <w:gridCol w:w="1276"/>
        <w:gridCol w:w="1276"/>
      </w:tblGrid>
      <w:tr w:rsidR="008D21F7" w:rsidTr="008D21F7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Título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Coordenação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Palestrantes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Não Alunos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Alunos</w:t>
            </w:r>
          </w:p>
        </w:tc>
      </w:tr>
      <w:tr w:rsidR="008D21F7" w:rsidTr="008D21F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1F7" w:rsidTr="008D21F7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Formação Profissional em saúde no Brasil: impasses e perspectivas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20/03/2014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Hermano Castro (Diretor da 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Naomar Almeida Filho (UFBA), Ruben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Araujo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de Mattos (UERJ) e Paulo Gadelha (Presidente da Fiocruz)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Saúde da Mulher: aspectos da vacinação contra o HPV no Brasil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09/04/2014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Luiz Antônio Bastos Camacho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Gulnar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Azevedo e Silva (MS/UERJ) e Ana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Goretti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Kalume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(Programa Nacional de Imunizações da SVS/MS)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16</w:t>
            </w:r>
          </w:p>
        </w:tc>
      </w:tr>
      <w:tr w:rsidR="008D21F7" w:rsidTr="008D21F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O controle social e a importância do nexo coletivo para a saúde do trabalhador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16/04/2014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Francisco Pedra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Heleno Rodrigues Corrêa Filho (Unicamp), Antônio de Marco Rasteiro (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Atesq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) e Gloria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Nozella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Lima (Sindicato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Quimicos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Unificados – Campinas)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8</w:t>
            </w:r>
          </w:p>
        </w:tc>
      </w:tr>
      <w:tr w:rsidR="008D21F7" w:rsidTr="008D21F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Cigarro eletrônico: um desafio para a saúde pública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21/05/2014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Antônio Sérgio Fonseca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Tânia Cavalcante (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Conicq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) e André Luiz Oliveira (Anvisa)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17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Trabalho em saúde: política públicas, desigualdade e relações de trabalho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23/07/2014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Maria Inês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Carsalade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Martins (ENSP/Fiocruz) e Nilson do Rosário Costa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Ana Paula Marques (Universidade do Minho – Portugal), Kátia Medeiros (Fiocruz-PE), Isabela Cardoso (UFBA)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21</w:t>
            </w:r>
          </w:p>
        </w:tc>
      </w:tr>
      <w:tr w:rsidR="008D21F7" w:rsidTr="008D21F7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Abordagens complementares em gestão e avaliação do conhecimento nas inovações em saúde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06/08/2014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Sheila Mendonça de Souza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pStyle w:val="TextosemFormatao"/>
              <w:spacing w:line="256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Zulmira Hartz (IOC/Fiocruz) e Jorge Lima de Magalhães (NIT/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Far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>-Manguinhos/Fiocruz)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17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Sistema Nacional de Vigilância Sanitária: a construção de uma carreira pública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20/08/2014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Arnaldo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Lassance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Claudia Cristina Santiago (Anvisa), Marcia Teixeira (ENSP/Fiocruz) e André Ferraz (Associação dos Servidores da Vigilância Sanitária – RJ)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27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Metodologias Qualitativas e abordagens participativas em saúde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27/08/2014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Regina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Cele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de Andrade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Bodstein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Sónia Diaz (Instituto de Medicina Tropical – Lisboa) e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Willer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Baumgartten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Marcondes (ENSP/Fiocruz)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40</w:t>
            </w:r>
          </w:p>
        </w:tc>
      </w:tr>
      <w:tr w:rsidR="008D21F7" w:rsidTr="008D21F7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Iniciação para Ciência: formação e vocação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17/09/2014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Sheila Mendonça de Souza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Vivian Mary Barral (UFRJ) e Marcia Teixeira (ENSP/Fiocruz)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17</w:t>
            </w:r>
          </w:p>
        </w:tc>
      </w:tr>
      <w:tr w:rsidR="008D21F7" w:rsidTr="008D21F7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Doença pelo vírus Ebola (DVE): desafios para a saúde pública e para a bioética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01/10/2014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Claudia Garcia Serpa Osorio de Castro (ENSP/Fiocruz), José Fernando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Verani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(ENSP/Fiocruz) e Carlos Machado de Freitas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José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Cerbino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Neto (INI/Fiocruz), Eduardo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Haje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Carmo (Anvisa) e Sergio Rego (ENSP/Fiocruz)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28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Mudanças climáticas e desastres no Brasil: desafios para a segurança humana e a saúde coletiva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08/10/2014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Valcler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Rangel (Fiocruz)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Norma Valencio (UFSCar)e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Christovam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Barcellos (ICICT/Fiocruz)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20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lastRenderedPageBreak/>
              <w:t>Avaliação da APS no Brasil: melhoria do acesso e qualidade da atenção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19/10/2014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Maria Helena Magalhães de Mendonça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Ligia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Giovanella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(ENSP/Fiocruz), Marcia Fausto (ENSP/Fiocruz) e Ana Costa (UnB)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31</w:t>
            </w:r>
          </w:p>
        </w:tc>
      </w:tr>
      <w:tr w:rsidR="008D21F7" w:rsidTr="008D21F7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Poluição sonora: desafios para a saúde coletiva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19/11/2014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Denise Torreão Corrêa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Marco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Antonio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Nabuco (Inmetro), Marcia Soalheiro (ENSP/Fiocruz) e Marta Ribeiro Valle Macedo (CST/Fiocruz)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12</w:t>
            </w:r>
          </w:p>
        </w:tc>
      </w:tr>
      <w:tr w:rsidR="008D21F7" w:rsidTr="008D21F7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Os surtos de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micobactérias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no Brasil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26/11/2014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br/>
              <w:t>Jesus Pais Ramos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Suzie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Marie Gomes (Anvisa), Rafael Duarte (UFRJ) e José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Luis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de Souza Varella (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Cremerj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</w:t>
            </w:r>
          </w:p>
        </w:tc>
      </w:tr>
    </w:tbl>
    <w:p w:rsidR="008D21F7" w:rsidRDefault="008D21F7" w:rsidP="008D21F7">
      <w:pPr>
        <w:spacing w:line="360" w:lineRule="auto"/>
        <w:ind w:firstLine="1418"/>
        <w:jc w:val="center"/>
        <w:rPr>
          <w:sz w:val="32"/>
          <w:szCs w:val="24"/>
        </w:rPr>
      </w:pPr>
    </w:p>
    <w:p w:rsidR="008D21F7" w:rsidRDefault="008D21F7" w:rsidP="008D21F7">
      <w:pPr>
        <w:spacing w:line="360" w:lineRule="auto"/>
        <w:ind w:firstLine="1418"/>
        <w:jc w:val="center"/>
        <w:rPr>
          <w:sz w:val="32"/>
          <w:szCs w:val="24"/>
        </w:rPr>
      </w:pPr>
    </w:p>
    <w:p w:rsidR="008D21F7" w:rsidRDefault="008D21F7" w:rsidP="008D21F7">
      <w:pPr>
        <w:spacing w:line="360" w:lineRule="auto"/>
        <w:ind w:firstLine="1418"/>
        <w:jc w:val="center"/>
        <w:rPr>
          <w:sz w:val="32"/>
          <w:szCs w:val="24"/>
        </w:rPr>
      </w:pPr>
    </w:p>
    <w:p w:rsidR="008D21F7" w:rsidRDefault="008D21F7" w:rsidP="008D21F7">
      <w:pPr>
        <w:spacing w:line="360" w:lineRule="auto"/>
        <w:ind w:firstLine="1418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CEENSP em 2015</w:t>
      </w:r>
    </w:p>
    <w:p w:rsidR="008D21F7" w:rsidRDefault="008D21F7" w:rsidP="008D21F7">
      <w:pPr>
        <w:spacing w:line="360" w:lineRule="auto"/>
        <w:ind w:firstLine="1418"/>
        <w:jc w:val="center"/>
        <w:rPr>
          <w:sz w:val="32"/>
          <w:szCs w:val="24"/>
        </w:rPr>
      </w:pPr>
    </w:p>
    <w:tbl>
      <w:tblPr>
        <w:tblW w:w="892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1276"/>
        <w:gridCol w:w="1843"/>
        <w:gridCol w:w="1417"/>
        <w:gridCol w:w="1276"/>
        <w:gridCol w:w="1276"/>
      </w:tblGrid>
      <w:tr w:rsidR="008D21F7" w:rsidTr="008D21F7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Título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Coordenação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Palestrantes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Não Alunos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Alunos</w:t>
            </w:r>
          </w:p>
        </w:tc>
      </w:tr>
      <w:tr w:rsidR="008D21F7" w:rsidTr="008D21F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1F7" w:rsidTr="008D21F7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Crise no abastecimento de água: problema ambiental ou de gestão?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04/03/2015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Bianca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Dieile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da Silva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Décio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Tubbs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Filho (UFRRJ) e Ana Lucia Nogueira de Paiva (PROURB)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21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Medicamentos para doenças raras: eficiência econômica </w:t>
            </w:r>
            <w:r>
              <w:rPr>
                <w:rFonts w:ascii="Calibri" w:hAnsi="Calibri"/>
                <w:i/>
                <w:color w:val="000000"/>
                <w:sz w:val="14"/>
                <w:szCs w:val="14"/>
                <w:lang w:eastAsia="en-US"/>
              </w:rPr>
              <w:t xml:space="preserve">versus 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equidade social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25/03/2015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Cláudio Cordovil Oliveira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Denizar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Vianna (UERJ), Fernando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Aith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(USP) e Marlene Sturm (Instituto Canguru)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15</w:t>
            </w:r>
          </w:p>
        </w:tc>
      </w:tr>
      <w:tr w:rsidR="008D21F7" w:rsidTr="008D21F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Indígenas nas estatísticas nacionais de saúde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08/04/2015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Ricardo Ventura Santos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Nilza Pereira (IBGE), Andrey Moreira Cardoso (ENSP/Fiocruz) e Carlos Coimbra Jr. (ENSP/Fiocruz)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21</w:t>
            </w:r>
          </w:p>
        </w:tc>
      </w:tr>
      <w:tr w:rsidR="008D21F7" w:rsidTr="008D21F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Fatores associados ao absenteísmo e possíveis intervenções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13/05/2015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Liliane Reis Teixeira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Frida Marina Fischer (USP) e Lúcia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Rotenberg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(IOC/Fiocruz)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17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8D21F7" w:rsidTr="008D21F7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Q psiquiatria sob influência: corrupção institucional, danos sociais e proposições para reforma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10/06/2015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Paulo Amarante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pStyle w:val="TextosemFormatao"/>
              <w:spacing w:line="256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Robert Whitaker (Escritor e jornalista – EUA) e Fernando Ferreira Pinto (ENSP/Fiocruz)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15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Vigilância do Óbito Materno, infantil e Fetal e atuação em comitês de Mortalidade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17/06/2015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Marcos Augusto Bastos Dias (IFF/Fiocruz)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Célia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Landmann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(ICICT/Fiocruz), Sônia </w:t>
            </w:r>
            <w:proofErr w:type="spellStart"/>
            <w:r>
              <w:rPr>
                <w:rFonts w:ascii="Calibri" w:hAnsi="Calibri"/>
                <w:sz w:val="14"/>
                <w:szCs w:val="14"/>
                <w:lang w:eastAsia="en-US"/>
              </w:rPr>
              <w:t>Lansky</w:t>
            </w:r>
            <w:proofErr w:type="spellEnd"/>
            <w:r>
              <w:rPr>
                <w:rFonts w:ascii="Calibri" w:hAnsi="Calibri"/>
                <w:sz w:val="14"/>
                <w:szCs w:val="14"/>
                <w:lang w:eastAsia="en-US"/>
              </w:rPr>
              <w:t xml:space="preserve"> (Secretaria Municipal de Belo Horizonte) e Sonia Bittencourt (ENSP/Fiocruz)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10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Análise do processo de implantação das Unidades de Pronto Atendimento (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UPAs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) no Estado do Rio de Janeiro: 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lastRenderedPageBreak/>
              <w:t>desafios para a conformação da rede de atenção às urgências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lastRenderedPageBreak/>
              <w:t>24/06/2015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Gisele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O´Dwyer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Luciana Dias de Lima (ENSP/Fiocruz) e Armando de Negri (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HCor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16</w:t>
            </w:r>
          </w:p>
        </w:tc>
      </w:tr>
      <w:tr w:rsidR="008D21F7" w:rsidTr="008D21F7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lastRenderedPageBreak/>
              <w:t>Prioridades do Gasto e(m) saúde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19/08/2015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Marina Ferreira de Noronha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Maria de Fátima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Siliansky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(IESC/UFRJ) e Carlos Octávio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Ocké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-Reis (IPEA)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14</w:t>
            </w:r>
          </w:p>
        </w:tc>
      </w:tr>
      <w:tr w:rsidR="008D21F7" w:rsidTr="008D21F7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A revisão da lei de patentes e as implicações para o acesso a medicamentos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21/10/2015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Gabriela Costa Chaves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Sara Helena Pereira e Silva (Universidades aliadas por Medicamentos Essenciais), Felipe de Carvalho (GTPI/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Rebrip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), Reinaldo Guimarães (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Abilina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) e Jorge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Bermudez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(Fiocruz)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7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Os acidentes de trabalho no Brasil segunda a Pesquisa Nacional de Saúde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04/11/2015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Francisco Pedra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Célia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Landmann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(ICICT/Fiocruz) e Heleno Rodrigues Corrêa Filho (UnB)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15</w:t>
            </w:r>
          </w:p>
        </w:tc>
      </w:tr>
      <w:tr w:rsidR="008D21F7" w:rsidTr="008D21F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A prevenção nossa de cada dia: dilemas e desafios para a saúde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11/11/2015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Luiz Antônio Bastos Camacho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Arn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Migowski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(Inca),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Luis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David Castiel (ENSP/Fiocruz) e Paulo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Nadanovsky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(ENSP/Fiocruz)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10</w:t>
            </w:r>
          </w:p>
        </w:tc>
      </w:tr>
      <w:tr w:rsidR="008D21F7" w:rsidTr="008D21F7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Compras públicas em sistemas de saúde: qualidade e preço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25/11/2015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Rondineli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Mendes da Silva (ENSP/Fiocruz)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Fabíola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Sulpino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Vieira (Ipea),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Björn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Wettermark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(Conselho da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Municipialidade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– Estocolmo, Suécia) e Laura Anne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Krech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(USP)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6</w:t>
            </w:r>
          </w:p>
        </w:tc>
      </w:tr>
    </w:tbl>
    <w:p w:rsidR="008D21F7" w:rsidRDefault="008D21F7" w:rsidP="008D21F7">
      <w:pPr>
        <w:spacing w:line="360" w:lineRule="auto"/>
        <w:ind w:firstLine="1418"/>
        <w:jc w:val="center"/>
        <w:rPr>
          <w:sz w:val="32"/>
          <w:szCs w:val="24"/>
        </w:rPr>
      </w:pPr>
    </w:p>
    <w:p w:rsidR="008D21F7" w:rsidRDefault="008D21F7" w:rsidP="008D21F7">
      <w:pPr>
        <w:spacing w:line="360" w:lineRule="auto"/>
        <w:rPr>
          <w:sz w:val="32"/>
          <w:szCs w:val="24"/>
        </w:rPr>
      </w:pPr>
    </w:p>
    <w:p w:rsidR="008D21F7" w:rsidRDefault="008D21F7" w:rsidP="008D21F7">
      <w:pPr>
        <w:spacing w:line="360" w:lineRule="auto"/>
        <w:ind w:firstLine="1418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CEENSP em 2016</w:t>
      </w:r>
    </w:p>
    <w:p w:rsidR="008D21F7" w:rsidRDefault="008D21F7" w:rsidP="008D21F7">
      <w:pPr>
        <w:spacing w:line="360" w:lineRule="auto"/>
        <w:ind w:firstLine="1418"/>
        <w:jc w:val="center"/>
        <w:rPr>
          <w:sz w:val="32"/>
          <w:szCs w:val="24"/>
        </w:rPr>
      </w:pPr>
    </w:p>
    <w:tbl>
      <w:tblPr>
        <w:tblW w:w="906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1296"/>
        <w:gridCol w:w="1870"/>
        <w:gridCol w:w="1438"/>
        <w:gridCol w:w="1295"/>
        <w:gridCol w:w="1295"/>
      </w:tblGrid>
      <w:tr w:rsidR="008D21F7" w:rsidTr="008D21F7">
        <w:trPr>
          <w:trHeight w:val="323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Título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Coordenação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Palestrantes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Não Alunos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Alunos</w:t>
            </w:r>
          </w:p>
        </w:tc>
      </w:tr>
      <w:tr w:rsidR="008D21F7" w:rsidTr="008D21F7">
        <w:trPr>
          <w:trHeight w:val="323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1F7" w:rsidTr="008D21F7">
        <w:trPr>
          <w:trHeight w:val="971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O estado da Arte sobre a epidemia do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Zika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Vírus – O que já sabemos e o que ainda precisamos saber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15/03/2016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Leticia de Oliveira Cardoso (ENSP/Fiocruz)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Rivaldo Venâncio (Fiocruz – MS), Maria Elizabeth Lopes (IFF/Fiocruz) e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Patricia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Carvalho de Serqueira (IOC/Fiocruz)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8</w:t>
            </w:r>
          </w:p>
        </w:tc>
      </w:tr>
      <w:tr w:rsidR="008D21F7" w:rsidTr="008D21F7">
        <w:trPr>
          <w:trHeight w:val="971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Zika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: a ética em pesquisas e em questões de gênero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04/04/2016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Sergio Rego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Jorge Alves de Almeida Venâncio e Débora Diniz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14</w:t>
            </w:r>
          </w:p>
        </w:tc>
      </w:tr>
      <w:tr w:rsidR="008D21F7" w:rsidTr="008D21F7">
        <w:trPr>
          <w:trHeight w:val="971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Cenário Atual das Políticas de Saúde no Brasil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20/04/2016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Nilson do Rosário Costa (ENSP/Fiocruz)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Ligia Bahia (UFRJ), Mario Dal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Poz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(UERJ) e Ligia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Giovanella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br/>
              <w:t>(ENSP/Fiocruz)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17</w:t>
            </w:r>
          </w:p>
        </w:tc>
      </w:tr>
      <w:tr w:rsidR="008D21F7" w:rsidTr="008D21F7">
        <w:trPr>
          <w:trHeight w:val="647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A Atuação das vigilâncias do campo da saúde nas Olimpíadas de 2016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27/04/2016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Vera Lúcia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Edais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Pepe (ENSP/Fiocruz)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Cláudio Maierovitch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Pessanha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(DEVIT/SVS), Arnaldo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Lassance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 xml:space="preserve"> (SUBVISA/RJ) e Rodolfo Navarro Nunes (Anvisa)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1F7" w:rsidRDefault="008D21F7">
            <w:pPr>
              <w:spacing w:line="256" w:lineRule="auto"/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26</w:t>
            </w:r>
          </w:p>
        </w:tc>
      </w:tr>
    </w:tbl>
    <w:p w:rsidR="00E04A21" w:rsidRDefault="008D21F7" w:rsidP="008D21F7">
      <w:pPr>
        <w:spacing w:line="360" w:lineRule="auto"/>
      </w:pPr>
      <w:bookmarkStart w:id="0" w:name="_GoBack"/>
      <w:bookmarkEnd w:id="0"/>
      <w:r>
        <w:rPr>
          <w:sz w:val="24"/>
          <w:szCs w:val="24"/>
        </w:rPr>
        <w:tab/>
      </w:r>
    </w:p>
    <w:sectPr w:rsidR="00E04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F7"/>
    <w:rsid w:val="008D21F7"/>
    <w:rsid w:val="00E0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4189-7BE5-47BC-8B2A-FFB98A71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D21F7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D21F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4682</Words>
  <Characters>25288</Characters>
  <Application>Microsoft Office Word</Application>
  <DocSecurity>0</DocSecurity>
  <Lines>210</Lines>
  <Paragraphs>59</Paragraphs>
  <ScaleCrop>false</ScaleCrop>
  <Company/>
  <LinksUpToDate>false</LinksUpToDate>
  <CharactersWithSpaces>29911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Maria Ferraz Mendonça de Souza</dc:creator>
  <cp:keywords/>
  <dc:description/>
  <cp:lastModifiedBy>Sheila Maria Ferraz Mendonça de Souza</cp:lastModifiedBy>
  <cp:revision>1</cp:revision>
  <dcterms:created xsi:type="dcterms:W3CDTF">2016-06-01T17:29:00Z</dcterms:created>
  <dcterms:modified xsi:type="dcterms:W3CDTF">2016-06-01T17:32:00Z</dcterms:modified>
</cp:coreProperties>
</file>